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B0636" w14:textId="77777777" w:rsidR="00346B88" w:rsidRDefault="00616F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I. MELLÉKLET</w:t>
      </w:r>
    </w:p>
    <w:p w14:paraId="6ABA08E7" w14:textId="77777777" w:rsidR="00346B88" w:rsidRDefault="00616F41">
      <w:pPr>
        <w:overflowPunct w:val="0"/>
        <w:jc w:val="center"/>
        <w:textAlignment w:val="auto"/>
      </w:pPr>
      <w:r>
        <w:rPr>
          <w:b/>
          <w:bCs/>
          <w:sz w:val="28"/>
          <w:szCs w:val="28"/>
        </w:rPr>
        <w:t>Díjtételek</w:t>
      </w:r>
    </w:p>
    <w:p w14:paraId="7DF46419" w14:textId="77777777" w:rsidR="00346B88" w:rsidRDefault="00346B88">
      <w:pPr>
        <w:overflowPunct w:val="0"/>
        <w:textAlignment w:val="auto"/>
        <w:rPr>
          <w:szCs w:val="24"/>
        </w:rPr>
      </w:pPr>
    </w:p>
    <w:p w14:paraId="23B11FA6" w14:textId="77777777" w:rsidR="00346B88" w:rsidRDefault="00616F41">
      <w:pPr>
        <w:overflowPunct w:val="0"/>
        <w:textAlignment w:val="auto"/>
      </w:pPr>
      <w:r>
        <w:rPr>
          <w:szCs w:val="24"/>
        </w:rPr>
        <w:t>A piac 2025. február 1. napjától érvényes, bruttó díjtételei a következők:</w:t>
      </w:r>
    </w:p>
    <w:p w14:paraId="5D17F3DA" w14:textId="77777777" w:rsidR="00346B88" w:rsidRDefault="00346B88">
      <w:pPr>
        <w:overflowPunct w:val="0"/>
        <w:textAlignment w:val="auto"/>
        <w:rPr>
          <w:szCs w:val="24"/>
        </w:rPr>
      </w:pPr>
    </w:p>
    <w:tbl>
      <w:tblPr>
        <w:tblW w:w="9062" w:type="dxa"/>
        <w:jc w:val="center"/>
        <w:tblLayout w:type="fixed"/>
        <w:tblLook w:val="01E0" w:firstRow="1" w:lastRow="1" w:firstColumn="1" w:lastColumn="1" w:noHBand="0" w:noVBand="0"/>
      </w:tblPr>
      <w:tblGrid>
        <w:gridCol w:w="564"/>
        <w:gridCol w:w="1608"/>
        <w:gridCol w:w="3653"/>
        <w:gridCol w:w="1825"/>
        <w:gridCol w:w="1412"/>
      </w:tblGrid>
      <w:tr w:rsidR="00346B88" w14:paraId="7B5C7DBF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  <w:vAlign w:val="center"/>
          </w:tcPr>
          <w:p w14:paraId="7AF2D625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</w:rPr>
              <w:t>Ssz</w:t>
            </w: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  <w:vAlign w:val="center"/>
          </w:tcPr>
          <w:p w14:paraId="510E557B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</w:rPr>
              <w:t>Megnevezés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DF23C42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</w:rPr>
              <w:t>Régi díjtétel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  <w:vAlign w:val="center"/>
          </w:tcPr>
          <w:p w14:paraId="40FE6B05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</w:rPr>
              <w:t>Új Díjtétel</w:t>
            </w:r>
          </w:p>
        </w:tc>
      </w:tr>
      <w:tr w:rsidR="00346B88" w14:paraId="53A470BA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6510DE9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</w:rPr>
              <w:t>1.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E8F7180" w14:textId="77777777" w:rsidR="00346B88" w:rsidRDefault="00346B88">
            <w:pPr>
              <w:widowControl w:val="0"/>
              <w:overflowPunct w:val="0"/>
              <w:textAlignment w:val="auto"/>
              <w:rPr>
                <w:b/>
                <w:bCs/>
                <w:szCs w:val="24"/>
              </w:rPr>
            </w:pPr>
          </w:p>
        </w:tc>
        <w:tc>
          <w:tcPr>
            <w:tcW w:w="6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001E46A" w14:textId="77777777" w:rsidR="00346B88" w:rsidRDefault="00616F41">
            <w:pPr>
              <w:widowControl w:val="0"/>
              <w:overflowPunct w:val="0"/>
              <w:textAlignment w:val="auto"/>
              <w:rPr>
                <w:b/>
                <w:szCs w:val="24"/>
              </w:rPr>
            </w:pPr>
            <w:r>
              <w:rPr>
                <w:b/>
                <w:bCs/>
                <w:szCs w:val="24"/>
              </w:rPr>
              <w:t>Asztalokról és földről történő árusítás</w:t>
            </w:r>
          </w:p>
        </w:tc>
      </w:tr>
      <w:tr w:rsidR="00346B88" w14:paraId="03A2A8E3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56E94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009E5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 xml:space="preserve">Élelmiszer, zöldség, gyümölcs, </w:t>
            </w:r>
            <w:proofErr w:type="gramStart"/>
            <w:r>
              <w:rPr>
                <w:szCs w:val="24"/>
              </w:rPr>
              <w:t>tojás,</w:t>
            </w:r>
            <w:proofErr w:type="gramEnd"/>
            <w:r>
              <w:rPr>
                <w:szCs w:val="24"/>
              </w:rPr>
              <w:t xml:space="preserve"> stb.: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85FC5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150,- Ft/m2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EF0A4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35</w:t>
            </w:r>
            <w:bookmarkStart w:id="0" w:name="__DdeLink__1724_1744622366"/>
            <w:r>
              <w:rPr>
                <w:szCs w:val="24"/>
              </w:rPr>
              <w:t xml:space="preserve">0,- </w:t>
            </w:r>
            <w:r>
              <w:rPr>
                <w:szCs w:val="24"/>
              </w:rPr>
              <w:t>Ft/m2</w:t>
            </w:r>
            <w:bookmarkEnd w:id="0"/>
          </w:p>
        </w:tc>
      </w:tr>
      <w:tr w:rsidR="00346B88" w14:paraId="155A41C0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5AFC2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6E29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>Csirke, egyéb baromfi, pelyhes liba, kisnyúl és minden egyéb apró állat /az állategészségügyi utasítások betartásával/: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2D5B7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160,- Ft/m2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D9782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350,- Ft/m2</w:t>
            </w:r>
          </w:p>
        </w:tc>
      </w:tr>
      <w:tr w:rsidR="00346B88" w14:paraId="17FA9EAA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92F54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9756C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>Egyéb áruk, vegyes iparcikk: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A63C9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150,- Ft/m2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2EEAA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350,- Ft/m2</w:t>
            </w:r>
          </w:p>
        </w:tc>
      </w:tr>
      <w:tr w:rsidR="00346B88" w14:paraId="1CCD652D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4A5AE5D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</w:rPr>
              <w:t>2.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31EC7A7" w14:textId="77777777" w:rsidR="00346B88" w:rsidRDefault="00346B88">
            <w:pPr>
              <w:widowControl w:val="0"/>
              <w:overflowPunct w:val="0"/>
              <w:textAlignment w:val="auto"/>
              <w:rPr>
                <w:b/>
                <w:szCs w:val="24"/>
              </w:rPr>
            </w:pPr>
          </w:p>
        </w:tc>
        <w:tc>
          <w:tcPr>
            <w:tcW w:w="6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EDE2F68" w14:textId="77777777" w:rsidR="00346B88" w:rsidRDefault="00616F41">
            <w:pPr>
              <w:widowControl w:val="0"/>
              <w:overflowPunct w:val="0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</w:rPr>
              <w:t>Időszakos áruk árusítása</w:t>
            </w:r>
          </w:p>
        </w:tc>
      </w:tr>
      <w:tr w:rsidR="00346B88" w14:paraId="75A2CFD7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F3243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7EFAE" w14:textId="77777777" w:rsidR="00346B88" w:rsidRDefault="00616F41">
            <w:pPr>
              <w:widowControl w:val="0"/>
              <w:overflowPunct w:val="0"/>
              <w:textAlignment w:val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Időszakos áruk </w:t>
            </w:r>
            <w:r>
              <w:rPr>
                <w:szCs w:val="24"/>
              </w:rPr>
              <w:t xml:space="preserve">(dinnye, karácsonyi fenyő, </w:t>
            </w:r>
            <w:proofErr w:type="gramStart"/>
            <w:r>
              <w:rPr>
                <w:szCs w:val="24"/>
              </w:rPr>
              <w:t>koszorú,</w:t>
            </w:r>
            <w:proofErr w:type="gramEnd"/>
            <w:r>
              <w:rPr>
                <w:szCs w:val="24"/>
              </w:rPr>
              <w:t xml:space="preserve"> stb.):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2E106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150,- Ft/m2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F4B91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350,- Ft/m2</w:t>
            </w:r>
          </w:p>
        </w:tc>
      </w:tr>
      <w:tr w:rsidR="00346B88" w14:paraId="0669FB8A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20C7278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</w:rPr>
              <w:t>3.</w:t>
            </w: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2900B22" w14:textId="77777777" w:rsidR="00346B88" w:rsidRDefault="00616F41">
            <w:pPr>
              <w:widowControl w:val="0"/>
              <w:overflowPunct w:val="0"/>
              <w:textAlignment w:val="auto"/>
              <w:rPr>
                <w:b/>
                <w:szCs w:val="24"/>
              </w:rPr>
            </w:pPr>
            <w:r>
              <w:rPr>
                <w:b/>
                <w:bCs/>
                <w:szCs w:val="24"/>
              </w:rPr>
              <w:t>Járműről való árusítás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B07F144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b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ABFAD58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b/>
                <w:szCs w:val="24"/>
              </w:rPr>
            </w:pPr>
          </w:p>
        </w:tc>
      </w:tr>
      <w:tr w:rsidR="00346B88" w14:paraId="64EB326A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38632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FF451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 xml:space="preserve">Személygépkocsi + utánfutó, amely a parkolási díjat is magában foglalja és a személygépkocsi szélességében a kirakodással elfoglalt 4 </w:t>
            </w:r>
            <w:r>
              <w:rPr>
                <w:szCs w:val="24"/>
              </w:rPr>
              <w:t>négyzetméter elárusító helyet is: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CC48F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 xml:space="preserve">800,- Ft + </w:t>
            </w:r>
          </w:p>
          <w:p w14:paraId="2BBD629D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500,- Ft/alkalom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CF183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 xml:space="preserve">1100,- Ft + </w:t>
            </w:r>
          </w:p>
          <w:p w14:paraId="2349E537" w14:textId="77777777" w:rsidR="00346B88" w:rsidRDefault="00616F41">
            <w:pPr>
              <w:widowControl w:val="0"/>
              <w:overflowPunct w:val="0"/>
              <w:textAlignment w:val="auto"/>
            </w:pPr>
            <w:r>
              <w:rPr>
                <w:szCs w:val="24"/>
              </w:rPr>
              <w:t xml:space="preserve">         800,- Ft/alkalom</w:t>
            </w:r>
          </w:p>
        </w:tc>
      </w:tr>
      <w:tr w:rsidR="00346B88" w14:paraId="55F47264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F8A1" w14:textId="77777777" w:rsidR="00346B88" w:rsidRDefault="00346B88">
            <w:pPr>
              <w:widowControl w:val="0"/>
              <w:overflowPunct w:val="0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41672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>Ember által vontatott kézikocsi: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E0B14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150,- Ft/m2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BB4D1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350,- Ft/m2</w:t>
            </w:r>
          </w:p>
        </w:tc>
      </w:tr>
      <w:tr w:rsidR="00346B88" w14:paraId="28FA8A22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55693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6FCA1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 xml:space="preserve">Tehergépkocsi 3,5 tonnáig, amely a parkolási díjat is magában foglalja és a </w:t>
            </w:r>
            <w:r>
              <w:rPr>
                <w:szCs w:val="24"/>
              </w:rPr>
              <w:t>tehergépkocsi szélességében a kirakodással elfoglalt 4 négyzetméter elárusító helyet is: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65AF2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800,- Ft + 800,- Ft/alkalom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BC111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1200,- Ft + 1200,- Ft/alkalom</w:t>
            </w:r>
          </w:p>
        </w:tc>
      </w:tr>
      <w:tr w:rsidR="00346B88" w14:paraId="17BFCD05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E9215D7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</w:rPr>
              <w:t>4.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55CAAA1" w14:textId="77777777" w:rsidR="00346B88" w:rsidRDefault="00346B88">
            <w:pPr>
              <w:widowControl w:val="0"/>
              <w:overflowPunct w:val="0"/>
              <w:textAlignment w:val="auto"/>
              <w:rPr>
                <w:b/>
                <w:szCs w:val="24"/>
              </w:rPr>
            </w:pPr>
          </w:p>
        </w:tc>
        <w:tc>
          <w:tcPr>
            <w:tcW w:w="6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F0AADF1" w14:textId="77777777" w:rsidR="00346B88" w:rsidRDefault="00616F41">
            <w:pPr>
              <w:widowControl w:val="0"/>
              <w:overflowPunct w:val="0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</w:rPr>
              <w:t>Vegyes</w:t>
            </w:r>
          </w:p>
        </w:tc>
      </w:tr>
      <w:tr w:rsidR="00346B88" w14:paraId="04F78ECC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903D2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46250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>Sátrak, büfé kocsik, mozgóboltok, egyéb építmények: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C546F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150,- Ft/m2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FD0BC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350,- Ft/m2</w:t>
            </w:r>
          </w:p>
        </w:tc>
      </w:tr>
      <w:tr w:rsidR="00346B88" w14:paraId="00782195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DDB10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9BC13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 xml:space="preserve">Állandó </w:t>
            </w:r>
            <w:r>
              <w:rPr>
                <w:szCs w:val="24"/>
              </w:rPr>
              <w:t>elárusító előtt ideiglenes kipakolás: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0CE69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150,- Ft/m2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B841C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350,- Ft/m2</w:t>
            </w:r>
          </w:p>
        </w:tc>
      </w:tr>
      <w:tr w:rsidR="00346B88" w14:paraId="2F5FA792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BAD0AD4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</w:rPr>
              <w:t>5.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885153F" w14:textId="77777777" w:rsidR="00346B88" w:rsidRDefault="00346B88">
            <w:pPr>
              <w:widowControl w:val="0"/>
              <w:overflowPunct w:val="0"/>
              <w:textAlignment w:val="auto"/>
              <w:rPr>
                <w:b/>
                <w:szCs w:val="24"/>
              </w:rPr>
            </w:pPr>
          </w:p>
        </w:tc>
        <w:tc>
          <w:tcPr>
            <w:tcW w:w="6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48CFA01" w14:textId="77777777" w:rsidR="00346B88" w:rsidRDefault="00616F41">
            <w:pPr>
              <w:widowControl w:val="0"/>
              <w:overflowPunct w:val="0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</w:rPr>
              <w:t>Szolgáltatások a piac területén</w:t>
            </w:r>
          </w:p>
        </w:tc>
      </w:tr>
      <w:tr w:rsidR="00346B88" w14:paraId="3F7D0988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C5027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B9FEB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>Személygépjármű parkolása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2B33D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800,- Ft/alkalom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32631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proofErr w:type="gramStart"/>
            <w:r>
              <w:rPr>
                <w:szCs w:val="24"/>
              </w:rPr>
              <w:t>1.000,-</w:t>
            </w:r>
            <w:proofErr w:type="gramEnd"/>
            <w:r>
              <w:rPr>
                <w:szCs w:val="24"/>
              </w:rPr>
              <w:t xml:space="preserve"> Ft/alkalom</w:t>
            </w:r>
          </w:p>
        </w:tc>
      </w:tr>
      <w:tr w:rsidR="00346B88" w14:paraId="2A038F7C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3772E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FF235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>Tehergépjármű parkolása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BB491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proofErr w:type="gramStart"/>
            <w:r>
              <w:rPr>
                <w:szCs w:val="24"/>
              </w:rPr>
              <w:t>1.000,-</w:t>
            </w:r>
            <w:proofErr w:type="gramEnd"/>
            <w:r>
              <w:rPr>
                <w:szCs w:val="24"/>
              </w:rPr>
              <w:t xml:space="preserve"> Ft/alkalom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B0C4C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proofErr w:type="gramStart"/>
            <w:r>
              <w:rPr>
                <w:szCs w:val="24"/>
              </w:rPr>
              <w:t>1.300,-</w:t>
            </w:r>
            <w:proofErr w:type="gramEnd"/>
            <w:r>
              <w:rPr>
                <w:szCs w:val="24"/>
              </w:rPr>
              <w:t xml:space="preserve"> Ft/alkalom</w:t>
            </w:r>
          </w:p>
        </w:tc>
      </w:tr>
      <w:tr w:rsidR="00346B88" w14:paraId="496D95C9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453A6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9EBB5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 xml:space="preserve">Nyilvános WC </w:t>
            </w:r>
            <w:r>
              <w:rPr>
                <w:szCs w:val="24"/>
              </w:rPr>
              <w:t>használati díja: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467E1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100,- Ft/alkalom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1F696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100,- Ft/alkalom</w:t>
            </w:r>
          </w:p>
        </w:tc>
      </w:tr>
      <w:tr w:rsidR="00346B88" w14:paraId="7174E657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809D4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DBA46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>Hirdetés, plakát kihelyezése: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FC203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200,- Ft/m2/hét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29181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200,- Ft/m2/hét</w:t>
            </w:r>
          </w:p>
        </w:tc>
      </w:tr>
      <w:tr w:rsidR="00346B88" w14:paraId="68F4A75C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</w:tcPr>
          <w:p w14:paraId="2CB587B3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b/>
                <w:szCs w:val="24"/>
                <w:highlight w:val="lightGray"/>
              </w:rPr>
            </w:pPr>
            <w:r>
              <w:rPr>
                <w:b/>
                <w:szCs w:val="24"/>
                <w:highlight w:val="lightGray"/>
              </w:rPr>
              <w:t>6.</w:t>
            </w: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</w:tcPr>
          <w:p w14:paraId="4B23ADAD" w14:textId="77777777" w:rsidR="00346B88" w:rsidRDefault="00616F41">
            <w:pPr>
              <w:widowControl w:val="0"/>
              <w:overflowPunct w:val="0"/>
              <w:textAlignment w:val="auto"/>
              <w:rPr>
                <w:b/>
                <w:szCs w:val="24"/>
                <w:highlight w:val="lightGray"/>
              </w:rPr>
            </w:pPr>
            <w:r>
              <w:rPr>
                <w:b/>
                <w:szCs w:val="24"/>
                <w:highlight w:val="lightGray"/>
              </w:rPr>
              <w:t>Piaci faházak bérbeadása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</w:tcPr>
          <w:p w14:paraId="32CAA2E9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b/>
                <w:szCs w:val="24"/>
                <w:highlight w:val="lightGray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vAlign w:val="center"/>
          </w:tcPr>
          <w:p w14:paraId="22D88F0D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b/>
                <w:szCs w:val="24"/>
                <w:highlight w:val="lightGray"/>
              </w:rPr>
            </w:pPr>
          </w:p>
        </w:tc>
      </w:tr>
      <w:tr w:rsidR="00346B88" w14:paraId="2F78A28A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552C3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4AA41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>Biharkeresztesi lakcímmel rendelkezők esetében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447EC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1.000 Ft/hó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7E714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1.800 Ft/hó</w:t>
            </w:r>
          </w:p>
        </w:tc>
      </w:tr>
      <w:tr w:rsidR="00346B88" w14:paraId="72923FEA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04B6B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A260F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 xml:space="preserve">Biharkeresztesi lakcímmel nem </w:t>
            </w:r>
            <w:r>
              <w:rPr>
                <w:szCs w:val="24"/>
              </w:rPr>
              <w:t>rendelkezők esetében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2CD4A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2.000 Ft/hó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A606D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2.900 Ft/hó</w:t>
            </w:r>
          </w:p>
        </w:tc>
      </w:tr>
      <w:tr w:rsidR="00346B88" w14:paraId="492B330B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FAAD9D5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</w:rPr>
              <w:t>7.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873BAE4" w14:textId="77777777" w:rsidR="00346B88" w:rsidRDefault="00346B88">
            <w:pPr>
              <w:widowControl w:val="0"/>
              <w:overflowPunct w:val="0"/>
              <w:textAlignment w:val="auto"/>
              <w:rPr>
                <w:b/>
                <w:szCs w:val="24"/>
              </w:rPr>
            </w:pPr>
          </w:p>
        </w:tc>
        <w:tc>
          <w:tcPr>
            <w:tcW w:w="6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AD56FB4" w14:textId="77777777" w:rsidR="00346B88" w:rsidRDefault="00616F41">
            <w:pPr>
              <w:widowControl w:val="0"/>
              <w:overflowPunct w:val="0"/>
              <w:textAlignment w:val="auto"/>
            </w:pPr>
            <w:r>
              <w:rPr>
                <w:b/>
                <w:szCs w:val="24"/>
              </w:rPr>
              <w:t>Kedvezmények</w:t>
            </w:r>
          </w:p>
        </w:tc>
      </w:tr>
      <w:tr w:rsidR="00346B88" w14:paraId="1DCD3E93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200FE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CDB80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>Elárusítóhely bérlése – 1 hónap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DA56C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0 %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01E0B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0 %</w:t>
            </w:r>
          </w:p>
        </w:tc>
      </w:tr>
      <w:tr w:rsidR="00346B88" w14:paraId="276F7126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6582E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1C130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>Elárusítóhely bérlése – 3 hónap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D3E88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5 %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4B70E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5 %</w:t>
            </w:r>
          </w:p>
        </w:tc>
      </w:tr>
      <w:tr w:rsidR="00346B88" w14:paraId="4182028B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48935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09E41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>Elárusítóhely bérlése – 6 hónap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401F2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15 %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B950E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15 %</w:t>
            </w:r>
          </w:p>
        </w:tc>
      </w:tr>
      <w:tr w:rsidR="00346B88" w14:paraId="24D3D11F" w14:textId="77777777" w:rsidTr="00616F4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85AC6" w14:textId="77777777" w:rsidR="00346B88" w:rsidRDefault="00346B88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F3452" w14:textId="77777777" w:rsidR="00346B88" w:rsidRDefault="00616F41">
            <w:pPr>
              <w:widowControl w:val="0"/>
              <w:overflowPunct w:val="0"/>
              <w:textAlignment w:val="auto"/>
              <w:rPr>
                <w:szCs w:val="24"/>
              </w:rPr>
            </w:pPr>
            <w:r>
              <w:rPr>
                <w:szCs w:val="24"/>
              </w:rPr>
              <w:t>Elárusítóhely bérlése – 1 év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71830" w14:textId="77777777" w:rsidR="00346B88" w:rsidRDefault="00616F41">
            <w:pPr>
              <w:widowControl w:val="0"/>
              <w:overflowPunct w:val="0"/>
              <w:jc w:val="center"/>
              <w:textAlignment w:val="auto"/>
            </w:pPr>
            <w:r>
              <w:rPr>
                <w:szCs w:val="24"/>
              </w:rPr>
              <w:t>30 %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7C095" w14:textId="77777777" w:rsidR="00346B88" w:rsidRDefault="00616F41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30 %</w:t>
            </w:r>
          </w:p>
        </w:tc>
      </w:tr>
    </w:tbl>
    <w:p w14:paraId="6D0A668E" w14:textId="77777777" w:rsidR="00346B88" w:rsidRDefault="00346B88">
      <w:pPr>
        <w:overflowPunct w:val="0"/>
        <w:textAlignment w:val="auto"/>
        <w:rPr>
          <w:szCs w:val="24"/>
        </w:rPr>
      </w:pPr>
    </w:p>
    <w:p w14:paraId="430D3CB0" w14:textId="77777777" w:rsidR="00346B88" w:rsidRDefault="00616F41">
      <w:pPr>
        <w:overflowPunct w:val="0"/>
        <w:textAlignment w:val="auto"/>
        <w:rPr>
          <w:b/>
          <w:szCs w:val="24"/>
        </w:rPr>
      </w:pPr>
      <w:r>
        <w:rPr>
          <w:b/>
          <w:szCs w:val="24"/>
        </w:rPr>
        <w:t xml:space="preserve">A </w:t>
      </w:r>
      <w:r>
        <w:rPr>
          <w:b/>
          <w:szCs w:val="24"/>
        </w:rPr>
        <w:t>díjtételekben meghatározott árak bruttó árak, az ÁFA összegét tartalmazzák.</w:t>
      </w:r>
    </w:p>
    <w:p w14:paraId="6DDE0360" w14:textId="77777777" w:rsidR="00346B88" w:rsidRDefault="00346B88">
      <w:pPr>
        <w:overflowPunct w:val="0"/>
        <w:textAlignment w:val="auto"/>
        <w:rPr>
          <w:szCs w:val="24"/>
        </w:rPr>
      </w:pPr>
    </w:p>
    <w:p w14:paraId="7934791A" w14:textId="77777777" w:rsidR="00346B88" w:rsidRDefault="00616F41">
      <w:pPr>
        <w:overflowPunct w:val="0"/>
        <w:jc w:val="both"/>
        <w:textAlignment w:val="auto"/>
      </w:pPr>
      <w:r>
        <w:rPr>
          <w:szCs w:val="24"/>
        </w:rPr>
        <w:t>Amennyiben az árusító a már kijelölt területnél nagyobb helyet foglal el, a különbözetet – minden megkezdett négyzetméter 1 m2-nek számít – a fizetendő helypénz mértékének megfelelően köteles megfizetni.</w:t>
      </w:r>
    </w:p>
    <w:sectPr w:rsidR="00346B8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B88"/>
    <w:rsid w:val="00346B88"/>
    <w:rsid w:val="00616F41"/>
    <w:rsid w:val="00F7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EDF14"/>
  <w15:docId w15:val="{5F5B6D09-41BC-42B8-B2DF-7039F8D83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86D78"/>
    <w:pPr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2</Pages>
  <Words>282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dc:description/>
  <cp:lastModifiedBy>Biharkeresztesi Közös Önkormányzati Hivatal</cp:lastModifiedBy>
  <cp:revision>17</cp:revision>
  <cp:lastPrinted>2024-01-23T15:22:00Z</cp:lastPrinted>
  <dcterms:created xsi:type="dcterms:W3CDTF">2018-12-03T10:51:00Z</dcterms:created>
  <dcterms:modified xsi:type="dcterms:W3CDTF">2025-02-03T12:56:00Z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